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66F" w:rsidRDefault="00D8266F" w:rsidP="002A0EEC">
      <w:pPr>
        <w:jc w:val="center"/>
        <w:rPr>
          <w:rFonts w:cs="B Titr"/>
          <w:b/>
          <w:bCs/>
          <w:sz w:val="32"/>
          <w:szCs w:val="36"/>
        </w:rPr>
      </w:pPr>
      <w:r w:rsidRPr="00D8266F">
        <w:rPr>
          <w:rFonts w:asciiTheme="minorHAnsi" w:eastAsiaTheme="minorEastAsia" w:hAnsiTheme="minorHAnsi" w:cstheme="minorBidi"/>
          <w:b/>
          <w:bCs/>
          <w:noProof/>
          <w:sz w:val="32"/>
          <w:szCs w:val="36"/>
          <w:rtl/>
          <w:lang w:bidi="ar-SA"/>
        </w:rPr>
        <mc:AlternateContent>
          <mc:Choice Requires="wps">
            <w:drawing>
              <wp:anchor distT="0" distB="0" distL="114300" distR="114300" simplePos="0" relativeHeight="251659264" behindDoc="0" locked="0" layoutInCell="1" allowOverlap="1" wp14:anchorId="5CB8DC5C" wp14:editId="3AEA8F7C">
                <wp:simplePos x="0" y="0"/>
                <wp:positionH relativeFrom="column">
                  <wp:posOffset>-583565</wp:posOffset>
                </wp:positionH>
                <wp:positionV relativeFrom="paragraph">
                  <wp:posOffset>-579120</wp:posOffset>
                </wp:positionV>
                <wp:extent cx="2729230" cy="360045"/>
                <wp:effectExtent l="0" t="0" r="33020" b="5905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360045"/>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D8266F" w:rsidRDefault="00D8266F" w:rsidP="00D8266F">
                            <w:pPr>
                              <w:spacing w:line="360" w:lineRule="auto"/>
                              <w:rPr>
                                <w:rFonts w:cs="2  Mitra"/>
                                <w:b/>
                                <w:bCs/>
                                <w:color w:val="000000"/>
                                <w:sz w:val="20"/>
                                <w:szCs w:val="20"/>
                              </w:rPr>
                            </w:pPr>
                            <w:r>
                              <w:rPr>
                                <w:rFonts w:ascii="Calibri" w:hAnsi="Calibri"/>
                                <w:sz w:val="20"/>
                                <w:szCs w:val="20"/>
                                <w:rtl/>
                              </w:rPr>
                              <w:t xml:space="preserve">  سازمان بورس و اوراق بهادار</w:t>
                            </w:r>
                            <w:r>
                              <w:rPr>
                                <w:rFonts w:ascii="Calibri" w:hAnsi="Calibri"/>
                                <w:sz w:val="20"/>
                                <w:szCs w:val="20"/>
                              </w:rPr>
                              <w:t xml:space="preserve">             </w:t>
                            </w:r>
                            <w:r>
                              <w:rPr>
                                <w:rFonts w:ascii="Calibri" w:hAnsi="Calibri"/>
                                <w:sz w:val="20"/>
                                <w:szCs w:val="20"/>
                                <w:rtl/>
                              </w:rPr>
                              <w:t>کد</w:t>
                            </w:r>
                            <w:r>
                              <w:rPr>
                                <w:rFonts w:ascii="Calibri" w:hAnsi="Calibri" w:hint="cs"/>
                                <w:sz w:val="20"/>
                                <w:szCs w:val="20"/>
                              </w:rPr>
                              <w:t xml:space="preserve"> </w:t>
                            </w:r>
                            <w:r>
                              <w:rPr>
                                <w:rFonts w:ascii="Calibri" w:hAnsi="Calibri"/>
                                <w:sz w:val="20"/>
                                <w:szCs w:val="20"/>
                              </w:rPr>
                              <w:t xml:space="preserve">: </w:t>
                            </w:r>
                            <w:r>
                              <w:rPr>
                                <w:rFonts w:ascii="Calibri" w:hAnsi="Calibri"/>
                                <w:sz w:val="20"/>
                                <w:szCs w:val="20"/>
                                <w:rtl/>
                              </w:rPr>
                              <w:t xml:space="preserve"> </w:t>
                            </w:r>
                            <w:r>
                              <w:rPr>
                                <w:rFonts w:ascii="Calibri" w:hAnsi="Calibri" w:hint="cs"/>
                                <w:b/>
                                <w:bCs/>
                                <w:sz w:val="20"/>
                                <w:szCs w:val="20"/>
                                <w:rtl/>
                              </w:rPr>
                              <w:t>01</w:t>
                            </w:r>
                            <w:r>
                              <w:rPr>
                                <w:rFonts w:cs="2  Mitra"/>
                                <w:b/>
                                <w:bCs/>
                                <w:color w:val="000000"/>
                                <w:sz w:val="20"/>
                                <w:szCs w:val="20"/>
                              </w:rPr>
                              <w:t>W-SP-</w:t>
                            </w:r>
                          </w:p>
                          <w:p w:rsidR="00D8266F" w:rsidRPr="00B77EF6" w:rsidRDefault="00D8266F" w:rsidP="00D8266F">
                            <w:pPr>
                              <w:rPr>
                                <w:rFonts w:ascii="Calibri" w:hAnsi="Calibri"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left:0;text-align:left;margin-left:-45.95pt;margin-top:-45.6pt;width:214.9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" strokecolor="#95b3d7" strokeweight="1pt">
                <v:fill color2="#b8cce4" focus="100%" type="gradient"/>
                <v:shadow on="t" color="#243f60" opacity=".5" offset="1pt"/>
                <v:textbox>
                  <w:txbxContent>
                    <w:p w:rsidR="00D8266F" w:rsidRDefault="00D8266F" w:rsidP="00D8266F">
                      <w:pPr>
                        <w:spacing w:line="360" w:lineRule="auto"/>
                        <w:rPr>
                          <w:rFonts w:cs="2  Mitra"/>
                          <w:b/>
                          <w:bCs/>
                          <w:color w:val="000000"/>
                          <w:sz w:val="20"/>
                          <w:szCs w:val="20"/>
                        </w:rPr>
                      </w:pPr>
                      <w:r>
                        <w:rPr>
                          <w:rFonts w:ascii="Calibri" w:hAnsi="Calibri"/>
                          <w:sz w:val="20"/>
                          <w:szCs w:val="20"/>
                          <w:rtl/>
                        </w:rPr>
                        <w:t xml:space="preserve">  سازمان بورس و اوراق بهادار</w:t>
                      </w:r>
                      <w:r>
                        <w:rPr>
                          <w:rFonts w:ascii="Calibri" w:hAnsi="Calibri"/>
                          <w:sz w:val="20"/>
                          <w:szCs w:val="20"/>
                        </w:rPr>
                        <w:t xml:space="preserve">             </w:t>
                      </w:r>
                      <w:r>
                        <w:rPr>
                          <w:rFonts w:ascii="Calibri" w:hAnsi="Calibri"/>
                          <w:sz w:val="20"/>
                          <w:szCs w:val="20"/>
                          <w:rtl/>
                        </w:rPr>
                        <w:t>کد</w:t>
                      </w:r>
                      <w:r>
                        <w:rPr>
                          <w:rFonts w:ascii="Calibri" w:hAnsi="Calibri" w:hint="cs"/>
                          <w:sz w:val="20"/>
                          <w:szCs w:val="20"/>
                        </w:rPr>
                        <w:t xml:space="preserve"> </w:t>
                      </w:r>
                      <w:r>
                        <w:rPr>
                          <w:rFonts w:ascii="Calibri" w:hAnsi="Calibri"/>
                          <w:sz w:val="20"/>
                          <w:szCs w:val="20"/>
                        </w:rPr>
                        <w:t xml:space="preserve">: </w:t>
                      </w:r>
                      <w:r>
                        <w:rPr>
                          <w:rFonts w:ascii="Calibri" w:hAnsi="Calibri"/>
                          <w:sz w:val="20"/>
                          <w:szCs w:val="20"/>
                          <w:rtl/>
                        </w:rPr>
                        <w:t xml:space="preserve"> </w:t>
                      </w:r>
                      <w:r>
                        <w:rPr>
                          <w:rFonts w:ascii="Calibri" w:hAnsi="Calibri" w:hint="cs"/>
                          <w:b/>
                          <w:bCs/>
                          <w:sz w:val="20"/>
                          <w:szCs w:val="20"/>
                          <w:rtl/>
                        </w:rPr>
                        <w:t>01</w:t>
                      </w:r>
                      <w:r>
                        <w:rPr>
                          <w:rFonts w:cs="2  Mitra"/>
                          <w:b/>
                          <w:bCs/>
                          <w:color w:val="000000"/>
                          <w:sz w:val="20"/>
                          <w:szCs w:val="20"/>
                        </w:rPr>
                        <w:t>W-SP-</w:t>
                      </w:r>
                    </w:p>
                    <w:p w:rsidR="00D8266F" w:rsidRPr="00B77EF6" w:rsidRDefault="00D8266F" w:rsidP="00D8266F">
                      <w:pPr>
                        <w:rPr>
                          <w:rFonts w:ascii="Calibri" w:hAnsi="Calibri" w:cs="Arial"/>
                          <w:sz w:val="20"/>
                          <w:szCs w:val="20"/>
                        </w:rPr>
                      </w:pPr>
                    </w:p>
                  </w:txbxContent>
                </v:textbox>
              </v:roundrect>
            </w:pict>
          </mc:Fallback>
        </mc:AlternateContent>
      </w:r>
    </w:p>
    <w:p w:rsidR="00C43123" w:rsidRPr="00D8266F" w:rsidRDefault="00A26769" w:rsidP="002A0EEC">
      <w:pPr>
        <w:jc w:val="center"/>
        <w:rPr>
          <w:rFonts w:cs="B Titr"/>
          <w:b/>
          <w:bCs/>
          <w:sz w:val="28"/>
          <w:szCs w:val="32"/>
        </w:rPr>
      </w:pPr>
      <w:r w:rsidRPr="00D8266F">
        <w:rPr>
          <w:rFonts w:cs="B Titr" w:hint="cs"/>
          <w:b/>
          <w:bCs/>
          <w:sz w:val="28"/>
          <w:szCs w:val="32"/>
          <w:rtl/>
        </w:rPr>
        <w:t>دستورالعمل فعالیت نهادهای واسط</w:t>
      </w:r>
    </w:p>
    <w:p w:rsidR="00FB50F2" w:rsidRPr="00D8266F" w:rsidRDefault="00FB50F2" w:rsidP="00975DC4">
      <w:pPr>
        <w:jc w:val="center"/>
        <w:rPr>
          <w:rFonts w:cs="B Titr"/>
          <w:b/>
          <w:bCs/>
          <w:sz w:val="20"/>
          <w:szCs w:val="22"/>
          <w:rtl/>
        </w:rPr>
      </w:pPr>
      <w:r w:rsidRPr="00D8266F">
        <w:rPr>
          <w:rFonts w:cs="B Titr" w:hint="cs"/>
          <w:b/>
          <w:bCs/>
          <w:sz w:val="20"/>
          <w:szCs w:val="22"/>
          <w:rtl/>
        </w:rPr>
        <w:t>(مصوب 11/05/89 و اصلاحیه</w:t>
      </w:r>
      <w:r w:rsidR="00D770A3">
        <w:rPr>
          <w:rFonts w:cs="B Titr"/>
          <w:b/>
          <w:bCs/>
          <w:sz w:val="20"/>
          <w:szCs w:val="22"/>
        </w:rPr>
        <w:t xml:space="preserve"> </w:t>
      </w:r>
      <w:bookmarkStart w:id="0" w:name="_GoBack"/>
      <w:bookmarkEnd w:id="0"/>
      <w:r w:rsidRPr="00D8266F">
        <w:rPr>
          <w:rFonts w:cs="B Titr" w:hint="cs"/>
          <w:b/>
          <w:bCs/>
          <w:sz w:val="20"/>
          <w:szCs w:val="22"/>
          <w:rtl/>
        </w:rPr>
        <w:t>22/09/95</w:t>
      </w:r>
      <w:r w:rsidR="00975DC4" w:rsidRPr="00D8266F">
        <w:rPr>
          <w:rFonts w:cs="B Titr" w:hint="cs"/>
          <w:sz w:val="22"/>
          <w:szCs w:val="22"/>
          <w:rtl/>
        </w:rPr>
        <w:t xml:space="preserve"> </w:t>
      </w:r>
      <w:r w:rsidR="00975DC4" w:rsidRPr="00D8266F">
        <w:rPr>
          <w:rFonts w:cs="B Titr" w:hint="cs"/>
          <w:b/>
          <w:bCs/>
          <w:sz w:val="20"/>
          <w:szCs w:val="22"/>
          <w:rtl/>
        </w:rPr>
        <w:t>شورای عالی بورس و اوراق بهادار</w:t>
      </w:r>
      <w:r w:rsidRPr="00D8266F">
        <w:rPr>
          <w:rFonts w:cs="B Titr" w:hint="cs"/>
          <w:b/>
          <w:bCs/>
          <w:sz w:val="20"/>
          <w:szCs w:val="22"/>
          <w:rtl/>
        </w:rPr>
        <w:t>)</w:t>
      </w:r>
    </w:p>
    <w:p w:rsidR="002A0EEC" w:rsidRDefault="00752F9D" w:rsidP="002A0EEC">
      <w:pPr>
        <w:rPr>
          <w:rtl/>
        </w:rPr>
      </w:pPr>
      <w:r>
        <w:rPr>
          <w:rFonts w:hint="cs"/>
          <w:rtl/>
        </w:rPr>
        <w:t xml:space="preserve">                                                                                                                                                                                                                                                                                                                                                                                                                                                                                                                                                                                                                                                                                                                                                                                                                                                                                                                                                                                                                                                                                                                                            </w:t>
      </w:r>
    </w:p>
    <w:p w:rsidR="002A0EEC" w:rsidRDefault="00A26769" w:rsidP="002D67DE">
      <w:pPr>
        <w:rPr>
          <w:rtl/>
        </w:rPr>
      </w:pPr>
      <w:r>
        <w:rPr>
          <w:rFonts w:hint="cs"/>
          <w:rtl/>
        </w:rPr>
        <w:t>در اجرای مادۀ 11 «قانون توسعۀ ابزارها و نهادهای مالی جدید به منظور تسهیل اجرای سیاست‌های کلی اصل چهل و چهارم قانون اساسی»، مصوب آذرماه 1388 مجلس شورای اسلامی، به پیشنهاد سازمان بورس و اوراق بهادار، «دستورالعمل فعالیت نهادهای واسط» در 9 ماده و 1 تبصره، در تاریخ 11/5/1389 به تصویب شورای‌عالی بورس و اوراق بهادار رسید.</w:t>
      </w:r>
    </w:p>
    <w:p w:rsidR="002A0EEC" w:rsidRDefault="00662B02" w:rsidP="002A0EEC">
      <w:pPr>
        <w:rPr>
          <w:rtl/>
        </w:rPr>
      </w:pPr>
    </w:p>
    <w:p w:rsidR="00E152D8" w:rsidRPr="00E152D8" w:rsidRDefault="00A26769" w:rsidP="00E152D8">
      <w:pPr>
        <w:pStyle w:val="ListParagraph"/>
        <w:numPr>
          <w:ilvl w:val="0"/>
          <w:numId w:val="2"/>
        </w:numPr>
        <w:ind w:left="737" w:hanging="737"/>
      </w:pPr>
      <w:r>
        <w:rPr>
          <w:rFonts w:hint="cs"/>
          <w:rtl/>
        </w:rPr>
        <w:t xml:space="preserve">اصطلاحات و واژه‌های به‌کاررفته در مادۀ 1 قانون بازار اوراق بهادار، مصوب آذرماه 1384 و مادۀ 1 قانون توسعۀ ابزارها و نهادهای مالی جدید به منظور تسهیل اجرای سیاست‌های کلی اصل چهل و چهارم قانون اساسی، مصوب آذرماه 1388، به همان معانی در این دستورالعمل به‌کار رفته‌اند. </w:t>
      </w:r>
    </w:p>
    <w:p w:rsidR="006465DE" w:rsidRDefault="00A26769" w:rsidP="002D67DE">
      <w:pPr>
        <w:pStyle w:val="ListParagraph"/>
        <w:numPr>
          <w:ilvl w:val="0"/>
          <w:numId w:val="2"/>
        </w:numPr>
        <w:ind w:left="737" w:hanging="737"/>
        <w:rPr>
          <w:rtl/>
        </w:rPr>
      </w:pPr>
      <w:r>
        <w:rPr>
          <w:rFonts w:hint="cs"/>
          <w:rtl/>
        </w:rPr>
        <w:t xml:space="preserve">به منظور نظارت بر نهادهای واسط، شرکت «مدیریت دارایی مرکزی» به صورت سهامی خاص با موضوع تأسیس و ادارة‌ نهاد واسط براساس مقررات تشكيل می‌شود. این شرکت یکی از نهادهای مالی موضوع قانون بازار اوراق بهادار است و سازمان بورس و اوراق بهادار در آن سهامدار نمي‌باشد. </w:t>
      </w:r>
    </w:p>
    <w:p w:rsidR="006465DE" w:rsidRDefault="00A26769" w:rsidP="0056619E">
      <w:pPr>
        <w:pStyle w:val="ListParagraph"/>
        <w:numPr>
          <w:ilvl w:val="0"/>
          <w:numId w:val="2"/>
        </w:numPr>
        <w:ind w:left="737" w:hanging="737"/>
      </w:pPr>
      <w:r>
        <w:rPr>
          <w:rFonts w:hint="cs"/>
          <w:rtl/>
        </w:rPr>
        <w:t xml:space="preserve">نهاد واسط در قالب حقوقی «شرکت با مسئولیت محدود» توسط شرکت مدیریت دارایی مرکزی (سهامی خاص) </w:t>
      </w:r>
      <w:r w:rsidRPr="00B41C4B">
        <w:rPr>
          <w:rFonts w:hint="cs"/>
          <w:rtl/>
        </w:rPr>
        <w:t>براساس مقررات،</w:t>
      </w:r>
      <w:r>
        <w:rPr>
          <w:rFonts w:hint="cs"/>
          <w:rtl/>
        </w:rPr>
        <w:t xml:space="preserve"> تشکیل می‌گردد. فعالیت شرکت و ادارۀ آن براساس قانون تجارت و اساسنامۀ شرکت انجام خواهد شد.</w:t>
      </w:r>
    </w:p>
    <w:p w:rsidR="00605768" w:rsidRPr="00B41C4B" w:rsidRDefault="00A26769" w:rsidP="00605768">
      <w:pPr>
        <w:pStyle w:val="ListParagraph"/>
        <w:numPr>
          <w:ilvl w:val="0"/>
          <w:numId w:val="2"/>
        </w:numPr>
        <w:ind w:left="737" w:hanging="737"/>
      </w:pPr>
      <w:r>
        <w:rPr>
          <w:rFonts w:hint="cs"/>
          <w:rtl/>
        </w:rPr>
        <w:t xml:space="preserve">تمامی امور پشتیبانی نهاد واسط توسط شرکت مدیریت دارایی مرکزی انجام می‌شود. </w:t>
      </w:r>
      <w:r w:rsidRPr="00B41C4B">
        <w:rPr>
          <w:rFonts w:hint="cs"/>
          <w:rtl/>
        </w:rPr>
        <w:t>بدیهی است حق امضای اسناد و اوراق تعهدآور، بر عهد</w:t>
      </w:r>
      <w:r w:rsidRPr="00B41C4B">
        <w:rPr>
          <w:rFonts w:cs="B Nazanin" w:hint="cs"/>
          <w:rtl/>
        </w:rPr>
        <w:t>ة</w:t>
      </w:r>
      <w:r w:rsidRPr="00B41C4B">
        <w:rPr>
          <w:rFonts w:hint="cs"/>
          <w:rtl/>
        </w:rPr>
        <w:t xml:space="preserve"> مدیر نهاد واسط است.</w:t>
      </w:r>
    </w:p>
    <w:p w:rsidR="000D3569" w:rsidRDefault="00A26769" w:rsidP="00DA1AC0">
      <w:pPr>
        <w:pStyle w:val="ListParagraph"/>
        <w:numPr>
          <w:ilvl w:val="0"/>
          <w:numId w:val="2"/>
        </w:numPr>
        <w:ind w:left="737" w:hanging="737"/>
      </w:pPr>
      <w:r>
        <w:rPr>
          <w:rFonts w:hint="cs"/>
          <w:rtl/>
        </w:rPr>
        <w:t>نهاد واسط جز در موارد تعیین‌شده در موضوع فعالیت در اساسنامۀ خود، مجاز به هیچگونه فعالیت دیگری نمی‌باشند.</w:t>
      </w:r>
    </w:p>
    <w:p w:rsidR="00D47648" w:rsidRDefault="00A26769" w:rsidP="007F23C7">
      <w:pPr>
        <w:pStyle w:val="ListParagraph"/>
        <w:numPr>
          <w:ilvl w:val="0"/>
          <w:numId w:val="2"/>
        </w:numPr>
        <w:ind w:left="737" w:hanging="737"/>
      </w:pPr>
      <w:r>
        <w:rPr>
          <w:rFonts w:hint="cs"/>
          <w:rtl/>
        </w:rPr>
        <w:t>هر نهاد واسط در هر زمان نمی‌تواند برای تأمین مالی بیش از یک طرح، اوراق بهادار منتشر نماید. نهاد واسطی که قبلاً نسبت به انتشار اوراق بهادار موضوع این دستورالعمل اقدام نموده است، به شرطی مجاز به انتشار اوراق جدید می‌باشد که تمامی تعهدات مربوط به اوراق بهادار قبلی را تصفیه نموده باشد.</w:t>
      </w:r>
    </w:p>
    <w:p w:rsidR="0047657B" w:rsidRDefault="00A26769" w:rsidP="0047657B">
      <w:pPr>
        <w:pStyle w:val="ListParagraph"/>
        <w:rPr>
          <w:rtl/>
        </w:rPr>
      </w:pPr>
      <w:r w:rsidRPr="008B6A56">
        <w:rPr>
          <w:rFonts w:hint="cs"/>
          <w:b/>
          <w:bCs/>
          <w:color w:val="000000"/>
          <w:sz w:val="28"/>
          <w:rtl/>
        </w:rPr>
        <w:t>تبصره:</w:t>
      </w:r>
      <w:r w:rsidRPr="008B6A56">
        <w:rPr>
          <w:rFonts w:hint="cs"/>
          <w:color w:val="000000"/>
          <w:sz w:val="28"/>
          <w:rtl/>
        </w:rPr>
        <w:t xml:space="preserve"> زمان</w:t>
      </w:r>
      <w:r w:rsidRPr="008B6A56">
        <w:rPr>
          <w:rFonts w:hint="cs"/>
          <w:color w:val="000000"/>
          <w:sz w:val="28"/>
          <w:rtl/>
        </w:rPr>
        <w:softHyphen/>
        <w:t xml:space="preserve">بندی، تعداد دفعات انتشار و توالی عرضه اوراق بهادار بر اساس نظر هیئت مدیره سازمان بورس و اوراق </w:t>
      </w:r>
      <w:r>
        <w:rPr>
          <w:rFonts w:hint="cs"/>
          <w:color w:val="000000"/>
          <w:sz w:val="28"/>
          <w:rtl/>
        </w:rPr>
        <w:t>بهادار انجام می</w:t>
      </w:r>
      <w:r>
        <w:rPr>
          <w:rFonts w:hint="cs"/>
          <w:color w:val="000000"/>
          <w:sz w:val="28"/>
          <w:rtl/>
        </w:rPr>
        <w:softHyphen/>
        <w:t>شود.</w:t>
      </w:r>
      <w:r w:rsidR="00C3694E">
        <w:rPr>
          <w:rStyle w:val="FootnoteReference"/>
          <w:color w:val="000000"/>
          <w:sz w:val="28"/>
          <w:rtl/>
        </w:rPr>
        <w:footnoteReference w:id="1"/>
      </w:r>
    </w:p>
    <w:p w:rsidR="002D67DE" w:rsidRDefault="00A26769" w:rsidP="003602F0">
      <w:pPr>
        <w:pStyle w:val="ListParagraph"/>
        <w:numPr>
          <w:ilvl w:val="0"/>
          <w:numId w:val="2"/>
        </w:numPr>
        <w:ind w:left="737" w:hanging="737"/>
      </w:pPr>
      <w:r w:rsidRPr="008D304A">
        <w:rPr>
          <w:rFonts w:hint="cs"/>
          <w:rtl/>
        </w:rPr>
        <w:t xml:space="preserve">افتتاح هرگونه حساب توسط نهاد واسط، صرفاً نزد بانک‌ها مجاز می‌باشد. </w:t>
      </w:r>
      <w:r>
        <w:rPr>
          <w:rFonts w:hint="cs"/>
          <w:rtl/>
        </w:rPr>
        <w:t xml:space="preserve">افتتاح و بستن حسابي كه وجوه حاصل از انتشار اوراق بهادار در آن متمركز مي‌باشد و برداشت و انتقال وجوه از آن حساب طبق ضوابط مصوب سازمان بورس و اوراق بهادار امكان‌پذير است.  </w:t>
      </w:r>
    </w:p>
    <w:p w:rsidR="00E152D8" w:rsidRDefault="00A26769" w:rsidP="00D07DD7">
      <w:pPr>
        <w:pStyle w:val="ListParagraph"/>
        <w:numPr>
          <w:ilvl w:val="0"/>
          <w:numId w:val="2"/>
        </w:numPr>
        <w:ind w:left="737" w:hanging="737"/>
      </w:pPr>
      <w:r>
        <w:rPr>
          <w:rFonts w:hint="cs"/>
          <w:rtl/>
        </w:rPr>
        <w:t xml:space="preserve">مصرف وجوه حاصل از فروش اوراق بهادار توسط نهادهای واسط در موردی غیر از اجرای موضوع انتشار اوراق بهادار ممنوع می‌باشد. پس از انتشار اوراق بهادار و مصرف وجوه حاصل در موضوع انتشار، سرمایه‌گذاری </w:t>
      </w:r>
      <w:r>
        <w:rPr>
          <w:rFonts w:hint="cs"/>
          <w:rtl/>
        </w:rPr>
        <w:lastRenderedPageBreak/>
        <w:t>جریانات نقدی حاصل از منافع اوراق بهادار توسط نهاد واسط، صرفاً در اوراق بهادار دارای تضمین اصل مبلغ سرمایه‌گذاری و سود آن و سپرده‌‌های بانکی مجاز است.</w:t>
      </w:r>
    </w:p>
    <w:p w:rsidR="008C1E3B" w:rsidRDefault="00A26769" w:rsidP="00530EC9">
      <w:pPr>
        <w:pStyle w:val="ListParagraph"/>
        <w:ind w:left="737"/>
      </w:pPr>
      <w:r w:rsidRPr="008402E6">
        <w:rPr>
          <w:rFonts w:hint="cs"/>
          <w:b/>
          <w:bCs/>
          <w:sz w:val="22"/>
          <w:szCs w:val="24"/>
          <w:rtl/>
        </w:rPr>
        <w:t>تبصره:</w:t>
      </w:r>
      <w:r>
        <w:rPr>
          <w:rFonts w:hint="cs"/>
          <w:rtl/>
        </w:rPr>
        <w:t xml:space="preserve"> نهاد واسط موظف است مدیریت وجوه در اختیار را با رعایت صرفه و صلاح سرمایه‌گذاران انجام دهد. </w:t>
      </w:r>
    </w:p>
    <w:p w:rsidR="00517245" w:rsidRPr="00935AE3" w:rsidRDefault="00A26769" w:rsidP="00935AE3">
      <w:pPr>
        <w:pStyle w:val="ListParagraph"/>
        <w:numPr>
          <w:ilvl w:val="0"/>
          <w:numId w:val="2"/>
        </w:numPr>
        <w:ind w:left="737" w:hanging="737"/>
        <w:rPr>
          <w:rtl/>
        </w:rPr>
      </w:pPr>
      <w:r w:rsidRPr="008440A6">
        <w:rPr>
          <w:rFonts w:hint="cs"/>
          <w:rtl/>
        </w:rPr>
        <w:t>انتشار اوراق بهادار مصوب شورا توسط نهاد واسط، براساس دستورالعمل‌هایی است که به تصویب سازمان خواهد رسید.</w:t>
      </w:r>
    </w:p>
    <w:sectPr w:rsidR="00517245" w:rsidRPr="00935AE3" w:rsidSect="002A0EEC">
      <w:footerReference w:type="even" r:id="rId9"/>
      <w:footerReference w:type="default" r:id="rId1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B02" w:rsidRDefault="00662B02">
      <w:r>
        <w:separator/>
      </w:r>
    </w:p>
  </w:endnote>
  <w:endnote w:type="continuationSeparator" w:id="0">
    <w:p w:rsidR="00662B02" w:rsidRDefault="0066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2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AC4" w:rsidRDefault="00A26769" w:rsidP="00BF4E7F">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226AC4" w:rsidRDefault="00662B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AC4" w:rsidRDefault="00A26769" w:rsidP="00BF4E7F">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D770A3">
      <w:rPr>
        <w:rStyle w:val="PageNumber"/>
        <w:noProof/>
        <w:rtl/>
      </w:rPr>
      <w:t>1</w:t>
    </w:r>
    <w:r>
      <w:rPr>
        <w:rStyle w:val="PageNumber"/>
        <w:rtl/>
      </w:rPr>
      <w:fldChar w:fldCharType="end"/>
    </w:r>
  </w:p>
  <w:p w:rsidR="00226AC4" w:rsidRDefault="00662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B02" w:rsidRDefault="00662B02">
      <w:r>
        <w:separator/>
      </w:r>
    </w:p>
  </w:footnote>
  <w:footnote w:type="continuationSeparator" w:id="0">
    <w:p w:rsidR="00662B02" w:rsidRDefault="00662B02">
      <w:r>
        <w:continuationSeparator/>
      </w:r>
    </w:p>
  </w:footnote>
  <w:footnote w:id="1">
    <w:p w:rsidR="00C3694E" w:rsidRDefault="00C3694E" w:rsidP="00C3694E">
      <w:pPr>
        <w:pStyle w:val="FootnoteText"/>
      </w:pPr>
      <w:r w:rsidRPr="001B0B06">
        <w:rPr>
          <w:rStyle w:val="FootnoteReference"/>
          <w:sz w:val="24"/>
          <w:szCs w:val="24"/>
        </w:rPr>
        <w:footnoteRef/>
      </w:r>
      <w:r w:rsidRPr="001B0B06">
        <w:rPr>
          <w:rFonts w:hint="cs"/>
          <w:sz w:val="24"/>
          <w:szCs w:val="24"/>
          <w:rtl/>
        </w:rPr>
        <w:t>-</w:t>
      </w:r>
      <w:r w:rsidRPr="001B0B06">
        <w:rPr>
          <w:sz w:val="24"/>
          <w:szCs w:val="24"/>
          <w:rtl/>
        </w:rPr>
        <w:t xml:space="preserve"> </w:t>
      </w:r>
      <w:r w:rsidRPr="001B0B06">
        <w:rPr>
          <w:rFonts w:hint="cs"/>
          <w:sz w:val="24"/>
          <w:szCs w:val="24"/>
          <w:rtl/>
        </w:rPr>
        <w:t xml:space="preserve">این تبصره به موجب مصوبۀ شورای عالی بورس و اوراق بهادار مورخ </w:t>
      </w:r>
      <w:r w:rsidRPr="00C3694E">
        <w:rPr>
          <w:rFonts w:hint="cs"/>
          <w:sz w:val="24"/>
          <w:szCs w:val="24"/>
          <w:rtl/>
        </w:rPr>
        <w:t xml:space="preserve">22/09/95 </w:t>
      </w:r>
      <w:r w:rsidRPr="001B0B06">
        <w:rPr>
          <w:rFonts w:hint="cs"/>
          <w:sz w:val="24"/>
          <w:szCs w:val="24"/>
          <w:rtl/>
        </w:rPr>
        <w:t>به دستورالعمل الحاق شده است.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C6D49"/>
    <w:multiLevelType w:val="hybridMultilevel"/>
    <w:tmpl w:val="CC30E50C"/>
    <w:lvl w:ilvl="0" w:tplc="5E82012A">
      <w:start w:val="1"/>
      <w:numFmt w:val="decimal"/>
      <w:lvlText w:val="(%1)"/>
      <w:lvlJc w:val="left"/>
      <w:pPr>
        <w:ind w:left="720" w:hanging="360"/>
      </w:pPr>
      <w:rPr>
        <w:rFonts w:hint="default"/>
      </w:rPr>
    </w:lvl>
    <w:lvl w:ilvl="1" w:tplc="F4B68C02" w:tentative="1">
      <w:start w:val="1"/>
      <w:numFmt w:val="lowerLetter"/>
      <w:lvlText w:val="%2."/>
      <w:lvlJc w:val="left"/>
      <w:pPr>
        <w:ind w:left="1440" w:hanging="360"/>
      </w:pPr>
    </w:lvl>
    <w:lvl w:ilvl="2" w:tplc="97A083DC" w:tentative="1">
      <w:start w:val="1"/>
      <w:numFmt w:val="lowerRoman"/>
      <w:lvlText w:val="%3."/>
      <w:lvlJc w:val="right"/>
      <w:pPr>
        <w:ind w:left="2160" w:hanging="180"/>
      </w:pPr>
    </w:lvl>
    <w:lvl w:ilvl="3" w:tplc="1E421DC0" w:tentative="1">
      <w:start w:val="1"/>
      <w:numFmt w:val="decimal"/>
      <w:lvlText w:val="%4."/>
      <w:lvlJc w:val="left"/>
      <w:pPr>
        <w:ind w:left="2880" w:hanging="360"/>
      </w:pPr>
    </w:lvl>
    <w:lvl w:ilvl="4" w:tplc="B4F0D0A4" w:tentative="1">
      <w:start w:val="1"/>
      <w:numFmt w:val="lowerLetter"/>
      <w:lvlText w:val="%5."/>
      <w:lvlJc w:val="left"/>
      <w:pPr>
        <w:ind w:left="3600" w:hanging="360"/>
      </w:pPr>
    </w:lvl>
    <w:lvl w:ilvl="5" w:tplc="C7E07EDE" w:tentative="1">
      <w:start w:val="1"/>
      <w:numFmt w:val="lowerRoman"/>
      <w:lvlText w:val="%6."/>
      <w:lvlJc w:val="right"/>
      <w:pPr>
        <w:ind w:left="4320" w:hanging="180"/>
      </w:pPr>
    </w:lvl>
    <w:lvl w:ilvl="6" w:tplc="67EA1D56" w:tentative="1">
      <w:start w:val="1"/>
      <w:numFmt w:val="decimal"/>
      <w:lvlText w:val="%7."/>
      <w:lvlJc w:val="left"/>
      <w:pPr>
        <w:ind w:left="5040" w:hanging="360"/>
      </w:pPr>
    </w:lvl>
    <w:lvl w:ilvl="7" w:tplc="F1D4F496" w:tentative="1">
      <w:start w:val="1"/>
      <w:numFmt w:val="lowerLetter"/>
      <w:lvlText w:val="%8."/>
      <w:lvlJc w:val="left"/>
      <w:pPr>
        <w:ind w:left="5760" w:hanging="360"/>
      </w:pPr>
    </w:lvl>
    <w:lvl w:ilvl="8" w:tplc="E612D63E" w:tentative="1">
      <w:start w:val="1"/>
      <w:numFmt w:val="lowerRoman"/>
      <w:lvlText w:val="%9."/>
      <w:lvlJc w:val="right"/>
      <w:pPr>
        <w:ind w:left="6480" w:hanging="180"/>
      </w:pPr>
    </w:lvl>
  </w:abstractNum>
  <w:abstractNum w:abstractNumId="1">
    <w:nsid w:val="46156421"/>
    <w:multiLevelType w:val="hybridMultilevel"/>
    <w:tmpl w:val="113C895A"/>
    <w:lvl w:ilvl="0" w:tplc="C7EE9DE6">
      <w:start w:val="1"/>
      <w:numFmt w:val="decimal"/>
      <w:suff w:val="space"/>
      <w:lvlText w:val="مادۀ (%1)"/>
      <w:lvlJc w:val="left"/>
      <w:pPr>
        <w:ind w:left="6" w:hanging="360"/>
      </w:pPr>
      <w:rPr>
        <w:rFonts w:cs="B Mitra" w:hint="cs"/>
        <w:bCs/>
        <w:iCs w:val="0"/>
        <w:szCs w:val="24"/>
      </w:rPr>
    </w:lvl>
    <w:lvl w:ilvl="1" w:tplc="291A54B0" w:tentative="1">
      <w:start w:val="1"/>
      <w:numFmt w:val="lowerLetter"/>
      <w:lvlText w:val="%2."/>
      <w:lvlJc w:val="left"/>
      <w:pPr>
        <w:ind w:left="726" w:hanging="360"/>
      </w:pPr>
    </w:lvl>
    <w:lvl w:ilvl="2" w:tplc="7922A3A8" w:tentative="1">
      <w:start w:val="1"/>
      <w:numFmt w:val="lowerRoman"/>
      <w:lvlText w:val="%3."/>
      <w:lvlJc w:val="right"/>
      <w:pPr>
        <w:ind w:left="1446" w:hanging="180"/>
      </w:pPr>
    </w:lvl>
    <w:lvl w:ilvl="3" w:tplc="E7820CC8" w:tentative="1">
      <w:start w:val="1"/>
      <w:numFmt w:val="decimal"/>
      <w:lvlText w:val="%4."/>
      <w:lvlJc w:val="left"/>
      <w:pPr>
        <w:ind w:left="2166" w:hanging="360"/>
      </w:pPr>
    </w:lvl>
    <w:lvl w:ilvl="4" w:tplc="D3AC0332" w:tentative="1">
      <w:start w:val="1"/>
      <w:numFmt w:val="lowerLetter"/>
      <w:lvlText w:val="%5."/>
      <w:lvlJc w:val="left"/>
      <w:pPr>
        <w:ind w:left="2886" w:hanging="360"/>
      </w:pPr>
    </w:lvl>
    <w:lvl w:ilvl="5" w:tplc="F17243C8" w:tentative="1">
      <w:start w:val="1"/>
      <w:numFmt w:val="lowerRoman"/>
      <w:lvlText w:val="%6."/>
      <w:lvlJc w:val="right"/>
      <w:pPr>
        <w:ind w:left="3606" w:hanging="180"/>
      </w:pPr>
    </w:lvl>
    <w:lvl w:ilvl="6" w:tplc="C01C9F86" w:tentative="1">
      <w:start w:val="1"/>
      <w:numFmt w:val="decimal"/>
      <w:lvlText w:val="%7."/>
      <w:lvlJc w:val="left"/>
      <w:pPr>
        <w:ind w:left="4326" w:hanging="360"/>
      </w:pPr>
    </w:lvl>
    <w:lvl w:ilvl="7" w:tplc="7EA4E48E" w:tentative="1">
      <w:start w:val="1"/>
      <w:numFmt w:val="lowerLetter"/>
      <w:lvlText w:val="%8."/>
      <w:lvlJc w:val="left"/>
      <w:pPr>
        <w:ind w:left="5046" w:hanging="360"/>
      </w:pPr>
    </w:lvl>
    <w:lvl w:ilvl="8" w:tplc="D6066430" w:tentative="1">
      <w:start w:val="1"/>
      <w:numFmt w:val="lowerRoman"/>
      <w:lvlText w:val="%9."/>
      <w:lvlJc w:val="right"/>
      <w:pPr>
        <w:ind w:left="5766" w:hanging="180"/>
      </w:pPr>
    </w:lvl>
  </w:abstractNum>
  <w:abstractNum w:abstractNumId="2">
    <w:nsid w:val="59E90DAB"/>
    <w:multiLevelType w:val="hybridMultilevel"/>
    <w:tmpl w:val="2FBE17F4"/>
    <w:lvl w:ilvl="0" w:tplc="52D400DA">
      <w:start w:val="1"/>
      <w:numFmt w:val="bullet"/>
      <w:lvlText w:val=""/>
      <w:lvlJc w:val="left"/>
      <w:pPr>
        <w:ind w:left="1815" w:hanging="360"/>
      </w:pPr>
      <w:rPr>
        <w:rFonts w:ascii="Symbol" w:hAnsi="Symbol" w:hint="default"/>
      </w:rPr>
    </w:lvl>
    <w:lvl w:ilvl="1" w:tplc="1EAE3A92" w:tentative="1">
      <w:start w:val="1"/>
      <w:numFmt w:val="bullet"/>
      <w:lvlText w:val="o"/>
      <w:lvlJc w:val="left"/>
      <w:pPr>
        <w:ind w:left="2535" w:hanging="360"/>
      </w:pPr>
      <w:rPr>
        <w:rFonts w:ascii="Courier New" w:hAnsi="Courier New" w:cs="Courier New" w:hint="default"/>
      </w:rPr>
    </w:lvl>
    <w:lvl w:ilvl="2" w:tplc="864C9690" w:tentative="1">
      <w:start w:val="1"/>
      <w:numFmt w:val="bullet"/>
      <w:lvlText w:val=""/>
      <w:lvlJc w:val="left"/>
      <w:pPr>
        <w:ind w:left="3255" w:hanging="360"/>
      </w:pPr>
      <w:rPr>
        <w:rFonts w:ascii="Wingdings" w:hAnsi="Wingdings" w:hint="default"/>
      </w:rPr>
    </w:lvl>
    <w:lvl w:ilvl="3" w:tplc="9F5CF260" w:tentative="1">
      <w:start w:val="1"/>
      <w:numFmt w:val="bullet"/>
      <w:lvlText w:val=""/>
      <w:lvlJc w:val="left"/>
      <w:pPr>
        <w:ind w:left="3975" w:hanging="360"/>
      </w:pPr>
      <w:rPr>
        <w:rFonts w:ascii="Symbol" w:hAnsi="Symbol" w:hint="default"/>
      </w:rPr>
    </w:lvl>
    <w:lvl w:ilvl="4" w:tplc="04349092" w:tentative="1">
      <w:start w:val="1"/>
      <w:numFmt w:val="bullet"/>
      <w:lvlText w:val="o"/>
      <w:lvlJc w:val="left"/>
      <w:pPr>
        <w:ind w:left="4695" w:hanging="360"/>
      </w:pPr>
      <w:rPr>
        <w:rFonts w:ascii="Courier New" w:hAnsi="Courier New" w:cs="Courier New" w:hint="default"/>
      </w:rPr>
    </w:lvl>
    <w:lvl w:ilvl="5" w:tplc="A4D4FF3E" w:tentative="1">
      <w:start w:val="1"/>
      <w:numFmt w:val="bullet"/>
      <w:lvlText w:val=""/>
      <w:lvlJc w:val="left"/>
      <w:pPr>
        <w:ind w:left="5415" w:hanging="360"/>
      </w:pPr>
      <w:rPr>
        <w:rFonts w:ascii="Wingdings" w:hAnsi="Wingdings" w:hint="default"/>
      </w:rPr>
    </w:lvl>
    <w:lvl w:ilvl="6" w:tplc="8AE876E0" w:tentative="1">
      <w:start w:val="1"/>
      <w:numFmt w:val="bullet"/>
      <w:lvlText w:val=""/>
      <w:lvlJc w:val="left"/>
      <w:pPr>
        <w:ind w:left="6135" w:hanging="360"/>
      </w:pPr>
      <w:rPr>
        <w:rFonts w:ascii="Symbol" w:hAnsi="Symbol" w:hint="default"/>
      </w:rPr>
    </w:lvl>
    <w:lvl w:ilvl="7" w:tplc="125CD324" w:tentative="1">
      <w:start w:val="1"/>
      <w:numFmt w:val="bullet"/>
      <w:lvlText w:val="o"/>
      <w:lvlJc w:val="left"/>
      <w:pPr>
        <w:ind w:left="6855" w:hanging="360"/>
      </w:pPr>
      <w:rPr>
        <w:rFonts w:ascii="Courier New" w:hAnsi="Courier New" w:cs="Courier New" w:hint="default"/>
      </w:rPr>
    </w:lvl>
    <w:lvl w:ilvl="8" w:tplc="AC6E748C" w:tentative="1">
      <w:start w:val="1"/>
      <w:numFmt w:val="bullet"/>
      <w:lvlText w:val=""/>
      <w:lvlJc w:val="left"/>
      <w:pPr>
        <w:ind w:left="757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94E"/>
    <w:rsid w:val="002A1B94"/>
    <w:rsid w:val="004A03E5"/>
    <w:rsid w:val="005C7844"/>
    <w:rsid w:val="00662B02"/>
    <w:rsid w:val="006A5CDC"/>
    <w:rsid w:val="00752F9D"/>
    <w:rsid w:val="00975DC4"/>
    <w:rsid w:val="00A26769"/>
    <w:rsid w:val="00C3694E"/>
    <w:rsid w:val="00D770A3"/>
    <w:rsid w:val="00D8266F"/>
    <w:rsid w:val="00F90880"/>
    <w:rsid w:val="00FB50F2"/>
  </w:rsids>
  <m:mathPr>
    <m:mathFont m:val="Cambria Math"/>
    <m:brkBin m:val="before"/>
    <m:brkBinSub m:val="--"/>
    <m:smallFrac m:val="0"/>
    <m:dispDef/>
    <m:lMargin m:val="0"/>
    <m:rMargin m:val="0"/>
    <m:defJc m:val="centerGroup"/>
    <m:wrapRight/>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B Mitr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123"/>
    <w:pPr>
      <w:bidi/>
      <w:jc w:val="both"/>
    </w:pPr>
    <w:rPr>
      <w:sz w:val="24"/>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EEC"/>
    <w:pPr>
      <w:ind w:left="720"/>
      <w:contextualSpacing/>
    </w:pPr>
  </w:style>
  <w:style w:type="character" w:styleId="CommentReference">
    <w:name w:val="annotation reference"/>
    <w:uiPriority w:val="99"/>
    <w:semiHidden/>
    <w:unhideWhenUsed/>
    <w:rsid w:val="00D47648"/>
    <w:rPr>
      <w:sz w:val="16"/>
      <w:szCs w:val="16"/>
    </w:rPr>
  </w:style>
  <w:style w:type="paragraph" w:styleId="CommentText">
    <w:name w:val="annotation text"/>
    <w:basedOn w:val="Normal"/>
    <w:link w:val="CommentTextChar"/>
    <w:uiPriority w:val="99"/>
    <w:semiHidden/>
    <w:unhideWhenUsed/>
    <w:rsid w:val="00D47648"/>
    <w:rPr>
      <w:sz w:val="20"/>
      <w:szCs w:val="20"/>
    </w:rPr>
  </w:style>
  <w:style w:type="character" w:customStyle="1" w:styleId="CommentTextChar">
    <w:name w:val="Comment Text Char"/>
    <w:basedOn w:val="DefaultParagraphFont"/>
    <w:link w:val="CommentText"/>
    <w:uiPriority w:val="99"/>
    <w:semiHidden/>
    <w:rsid w:val="00D47648"/>
  </w:style>
  <w:style w:type="paragraph" w:styleId="CommentSubject">
    <w:name w:val="annotation subject"/>
    <w:basedOn w:val="CommentText"/>
    <w:next w:val="CommentText"/>
    <w:link w:val="CommentSubjectChar"/>
    <w:uiPriority w:val="99"/>
    <w:semiHidden/>
    <w:unhideWhenUsed/>
    <w:rsid w:val="00D47648"/>
    <w:rPr>
      <w:b/>
      <w:bCs/>
    </w:rPr>
  </w:style>
  <w:style w:type="character" w:customStyle="1" w:styleId="CommentSubjectChar">
    <w:name w:val="Comment Subject Char"/>
    <w:link w:val="CommentSubject"/>
    <w:uiPriority w:val="99"/>
    <w:semiHidden/>
    <w:rsid w:val="00D47648"/>
    <w:rPr>
      <w:b/>
      <w:bCs/>
    </w:rPr>
  </w:style>
  <w:style w:type="paragraph" w:styleId="BalloonText">
    <w:name w:val="Balloon Text"/>
    <w:basedOn w:val="Normal"/>
    <w:link w:val="BalloonTextChar"/>
    <w:uiPriority w:val="99"/>
    <w:semiHidden/>
    <w:unhideWhenUsed/>
    <w:rsid w:val="00D47648"/>
    <w:rPr>
      <w:rFonts w:ascii="Tahoma" w:hAnsi="Tahoma" w:cs="Tahoma"/>
      <w:sz w:val="16"/>
      <w:szCs w:val="16"/>
    </w:rPr>
  </w:style>
  <w:style w:type="character" w:customStyle="1" w:styleId="BalloonTextChar">
    <w:name w:val="Balloon Text Char"/>
    <w:link w:val="BalloonText"/>
    <w:uiPriority w:val="99"/>
    <w:semiHidden/>
    <w:rsid w:val="00D47648"/>
    <w:rPr>
      <w:rFonts w:ascii="Tahoma" w:hAnsi="Tahoma" w:cs="Tahoma"/>
      <w:sz w:val="16"/>
      <w:szCs w:val="16"/>
    </w:rPr>
  </w:style>
  <w:style w:type="paragraph" w:styleId="Footer">
    <w:name w:val="footer"/>
    <w:basedOn w:val="Normal"/>
    <w:rsid w:val="00F174B2"/>
    <w:pPr>
      <w:tabs>
        <w:tab w:val="center" w:pos="4153"/>
        <w:tab w:val="right" w:pos="8306"/>
      </w:tabs>
    </w:pPr>
  </w:style>
  <w:style w:type="character" w:styleId="PageNumber">
    <w:name w:val="page number"/>
    <w:basedOn w:val="DefaultParagraphFont"/>
    <w:rsid w:val="00F174B2"/>
  </w:style>
  <w:style w:type="paragraph" w:styleId="FootnoteText">
    <w:name w:val="footnote text"/>
    <w:basedOn w:val="Normal"/>
    <w:link w:val="FootnoteTextChar"/>
    <w:uiPriority w:val="99"/>
    <w:semiHidden/>
    <w:unhideWhenUsed/>
    <w:rsid w:val="00C3694E"/>
    <w:rPr>
      <w:sz w:val="20"/>
      <w:szCs w:val="20"/>
    </w:rPr>
  </w:style>
  <w:style w:type="character" w:customStyle="1" w:styleId="FootnoteTextChar">
    <w:name w:val="Footnote Text Char"/>
    <w:link w:val="FootnoteText"/>
    <w:uiPriority w:val="99"/>
    <w:semiHidden/>
    <w:rsid w:val="00C3694E"/>
    <w:rPr>
      <w:lang w:bidi="fa-IR"/>
    </w:rPr>
  </w:style>
  <w:style w:type="character" w:styleId="FootnoteReference">
    <w:name w:val="footnote reference"/>
    <w:uiPriority w:val="99"/>
    <w:semiHidden/>
    <w:unhideWhenUsed/>
    <w:rsid w:val="00C369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B Mitr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123"/>
    <w:pPr>
      <w:bidi/>
      <w:jc w:val="both"/>
    </w:pPr>
    <w:rPr>
      <w:sz w:val="24"/>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EEC"/>
    <w:pPr>
      <w:ind w:left="720"/>
      <w:contextualSpacing/>
    </w:pPr>
  </w:style>
  <w:style w:type="character" w:styleId="CommentReference">
    <w:name w:val="annotation reference"/>
    <w:uiPriority w:val="99"/>
    <w:semiHidden/>
    <w:unhideWhenUsed/>
    <w:rsid w:val="00D47648"/>
    <w:rPr>
      <w:sz w:val="16"/>
      <w:szCs w:val="16"/>
    </w:rPr>
  </w:style>
  <w:style w:type="paragraph" w:styleId="CommentText">
    <w:name w:val="annotation text"/>
    <w:basedOn w:val="Normal"/>
    <w:link w:val="CommentTextChar"/>
    <w:uiPriority w:val="99"/>
    <w:semiHidden/>
    <w:unhideWhenUsed/>
    <w:rsid w:val="00D47648"/>
    <w:rPr>
      <w:sz w:val="20"/>
      <w:szCs w:val="20"/>
    </w:rPr>
  </w:style>
  <w:style w:type="character" w:customStyle="1" w:styleId="CommentTextChar">
    <w:name w:val="Comment Text Char"/>
    <w:basedOn w:val="DefaultParagraphFont"/>
    <w:link w:val="CommentText"/>
    <w:uiPriority w:val="99"/>
    <w:semiHidden/>
    <w:rsid w:val="00D47648"/>
  </w:style>
  <w:style w:type="paragraph" w:styleId="CommentSubject">
    <w:name w:val="annotation subject"/>
    <w:basedOn w:val="CommentText"/>
    <w:next w:val="CommentText"/>
    <w:link w:val="CommentSubjectChar"/>
    <w:uiPriority w:val="99"/>
    <w:semiHidden/>
    <w:unhideWhenUsed/>
    <w:rsid w:val="00D47648"/>
    <w:rPr>
      <w:b/>
      <w:bCs/>
    </w:rPr>
  </w:style>
  <w:style w:type="character" w:customStyle="1" w:styleId="CommentSubjectChar">
    <w:name w:val="Comment Subject Char"/>
    <w:link w:val="CommentSubject"/>
    <w:uiPriority w:val="99"/>
    <w:semiHidden/>
    <w:rsid w:val="00D47648"/>
    <w:rPr>
      <w:b/>
      <w:bCs/>
    </w:rPr>
  </w:style>
  <w:style w:type="paragraph" w:styleId="BalloonText">
    <w:name w:val="Balloon Text"/>
    <w:basedOn w:val="Normal"/>
    <w:link w:val="BalloonTextChar"/>
    <w:uiPriority w:val="99"/>
    <w:semiHidden/>
    <w:unhideWhenUsed/>
    <w:rsid w:val="00D47648"/>
    <w:rPr>
      <w:rFonts w:ascii="Tahoma" w:hAnsi="Tahoma" w:cs="Tahoma"/>
      <w:sz w:val="16"/>
      <w:szCs w:val="16"/>
    </w:rPr>
  </w:style>
  <w:style w:type="character" w:customStyle="1" w:styleId="BalloonTextChar">
    <w:name w:val="Balloon Text Char"/>
    <w:link w:val="BalloonText"/>
    <w:uiPriority w:val="99"/>
    <w:semiHidden/>
    <w:rsid w:val="00D47648"/>
    <w:rPr>
      <w:rFonts w:ascii="Tahoma" w:hAnsi="Tahoma" w:cs="Tahoma"/>
      <w:sz w:val="16"/>
      <w:szCs w:val="16"/>
    </w:rPr>
  </w:style>
  <w:style w:type="paragraph" w:styleId="Footer">
    <w:name w:val="footer"/>
    <w:basedOn w:val="Normal"/>
    <w:rsid w:val="00F174B2"/>
    <w:pPr>
      <w:tabs>
        <w:tab w:val="center" w:pos="4153"/>
        <w:tab w:val="right" w:pos="8306"/>
      </w:tabs>
    </w:pPr>
  </w:style>
  <w:style w:type="character" w:styleId="PageNumber">
    <w:name w:val="page number"/>
    <w:basedOn w:val="DefaultParagraphFont"/>
    <w:rsid w:val="00F174B2"/>
  </w:style>
  <w:style w:type="paragraph" w:styleId="FootnoteText">
    <w:name w:val="footnote text"/>
    <w:basedOn w:val="Normal"/>
    <w:link w:val="FootnoteTextChar"/>
    <w:uiPriority w:val="99"/>
    <w:semiHidden/>
    <w:unhideWhenUsed/>
    <w:rsid w:val="00C3694E"/>
    <w:rPr>
      <w:sz w:val="20"/>
      <w:szCs w:val="20"/>
    </w:rPr>
  </w:style>
  <w:style w:type="character" w:customStyle="1" w:styleId="FootnoteTextChar">
    <w:name w:val="Footnote Text Char"/>
    <w:link w:val="FootnoteText"/>
    <w:uiPriority w:val="99"/>
    <w:semiHidden/>
    <w:rsid w:val="00C3694E"/>
    <w:rPr>
      <w:lang w:bidi="fa-IR"/>
    </w:rPr>
  </w:style>
  <w:style w:type="character" w:styleId="FootnoteReference">
    <w:name w:val="footnote reference"/>
    <w:uiPriority w:val="99"/>
    <w:semiHidden/>
    <w:unhideWhenUsed/>
    <w:rsid w:val="00C369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B1A85-8242-486C-9D6A-4FA094DD8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zare</dc:creator>
  <cp:lastModifiedBy>Mohammad Mehdi Momenzadeh</cp:lastModifiedBy>
  <cp:revision>5</cp:revision>
  <cp:lastPrinted>2017-06-12T04:05:00Z</cp:lastPrinted>
  <dcterms:created xsi:type="dcterms:W3CDTF">2017-07-11T04:50:00Z</dcterms:created>
  <dcterms:modified xsi:type="dcterms:W3CDTF">2017-07-11T05:57:00Z</dcterms:modified>
</cp:coreProperties>
</file>